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B7F62" w14:textId="77777777" w:rsidR="00DE0585" w:rsidRPr="00F72CFC" w:rsidRDefault="00F17C33" w:rsidP="0012490C">
      <w:pPr>
        <w:jc w:val="center"/>
        <w:rPr>
          <w:rStyle w:val="Ttulo1Car"/>
          <w:rFonts w:ascii="Arial" w:hAnsi="Arial" w:cs="Arial"/>
          <w:b/>
          <w:bCs/>
          <w:color w:val="auto"/>
        </w:rPr>
      </w:pPr>
      <w:r w:rsidRPr="00F72CFC">
        <w:rPr>
          <w:rStyle w:val="Ttulo1Car"/>
          <w:rFonts w:ascii="Arial" w:hAnsi="Arial" w:cs="Arial"/>
          <w:b/>
          <w:bCs/>
          <w:color w:val="auto"/>
        </w:rPr>
        <w:t>Informe Ejecutivo</w:t>
      </w:r>
    </w:p>
    <w:p w14:paraId="7F59A0F2" w14:textId="37989651" w:rsidR="00F17C33" w:rsidRPr="00F72CFC" w:rsidRDefault="00DE0585" w:rsidP="0012490C">
      <w:pPr>
        <w:jc w:val="center"/>
        <w:rPr>
          <w:rStyle w:val="Ttulo1Car"/>
          <w:rFonts w:ascii="Arial" w:hAnsi="Arial" w:cs="Arial"/>
          <w:b/>
          <w:bCs/>
          <w:color w:val="auto"/>
        </w:rPr>
      </w:pPr>
      <w:r w:rsidRPr="00F72CFC">
        <w:rPr>
          <w:rFonts w:ascii="Arial" w:eastAsiaTheme="majorEastAsia" w:hAnsi="Arial" w:cs="Arial"/>
          <w:b/>
          <w:bCs/>
          <w:sz w:val="32"/>
          <w:szCs w:val="32"/>
        </w:rPr>
        <w:t>Inspección Vigilancia y Seguimiento, Referenciación de Servicios Urgencias y Hospitalización IPS Bogotá 2024</w:t>
      </w:r>
    </w:p>
    <w:p w14:paraId="2C80550F" w14:textId="177E5348" w:rsidR="00F17C33" w:rsidRPr="00026347" w:rsidRDefault="00F17C33" w:rsidP="506AD871">
      <w:pPr>
        <w:spacing w:line="240" w:lineRule="auto"/>
        <w:rPr>
          <w:rFonts w:ascii="Arial" w:hAnsi="Arial" w:cs="Arial"/>
          <w:color w:val="FF0000"/>
        </w:rPr>
      </w:pPr>
      <w:r w:rsidRPr="506AD871">
        <w:rPr>
          <w:rFonts w:ascii="Arial" w:hAnsi="Arial" w:cs="Arial"/>
          <w:b/>
          <w:bCs/>
        </w:rPr>
        <w:t>Periodo Auditado</w:t>
      </w:r>
      <w:r w:rsidRPr="506AD871">
        <w:rPr>
          <w:rFonts w:ascii="Arial" w:hAnsi="Arial" w:cs="Arial"/>
        </w:rPr>
        <w:t xml:space="preserve">: </w:t>
      </w:r>
      <w:r w:rsidR="006E235D">
        <w:rPr>
          <w:rFonts w:ascii="Arial" w:hAnsi="Arial" w:cs="Arial"/>
        </w:rPr>
        <w:t>19 al 30 de noviembre de 2024</w:t>
      </w:r>
      <w:r w:rsidRPr="506AD871">
        <w:rPr>
          <w:rFonts w:ascii="Arial" w:hAnsi="Arial" w:cs="Arial"/>
          <w:color w:val="FF0000"/>
        </w:rPr>
        <w:t xml:space="preserve"> </w:t>
      </w:r>
    </w:p>
    <w:p w14:paraId="524BDEB7" w14:textId="6D403FD2" w:rsidR="00F17C33" w:rsidRPr="00026347" w:rsidRDefault="00F17C33" w:rsidP="00F17C33">
      <w:pPr>
        <w:spacing w:line="240" w:lineRule="auto"/>
        <w:rPr>
          <w:rFonts w:ascii="Arial" w:hAnsi="Arial" w:cs="Arial"/>
        </w:rPr>
      </w:pPr>
      <w:r w:rsidRPr="00026347">
        <w:rPr>
          <w:rFonts w:ascii="Arial" w:hAnsi="Arial" w:cs="Arial"/>
          <w:b/>
        </w:rPr>
        <w:t>Nombre de la IPS</w:t>
      </w:r>
      <w:r w:rsidRPr="00026347">
        <w:rPr>
          <w:rFonts w:ascii="Arial" w:hAnsi="Arial" w:cs="Arial"/>
        </w:rPr>
        <w:t xml:space="preserve">: </w:t>
      </w:r>
      <w:r w:rsidR="006E235D">
        <w:rPr>
          <w:rFonts w:ascii="Arial" w:hAnsi="Arial" w:cs="Arial"/>
          <w:noProof/>
        </w:rPr>
        <w:t>CLINICA PALERMO</w:t>
      </w:r>
      <w:r w:rsidR="006E235D" w:rsidRPr="006E235D">
        <w:rPr>
          <w:rFonts w:ascii="Arial" w:hAnsi="Arial" w:cs="Arial"/>
          <w:noProof/>
        </w:rPr>
        <w:t xml:space="preserve"> </w:t>
      </w:r>
    </w:p>
    <w:p w14:paraId="527DA46D" w14:textId="5264813E" w:rsidR="00147BA6" w:rsidRDefault="00147BA6" w:rsidP="00A348C1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  <w:b/>
        </w:rPr>
        <w:t>Objetivo:</w:t>
      </w:r>
      <w:r w:rsidRPr="00026347">
        <w:rPr>
          <w:rFonts w:ascii="Arial" w:hAnsi="Arial" w:cs="Arial"/>
        </w:rPr>
        <w:t xml:space="preserve"> </w:t>
      </w:r>
      <w:r w:rsidR="00A348C1" w:rsidRPr="00A348C1">
        <w:rPr>
          <w:rFonts w:ascii="Arial" w:hAnsi="Arial" w:cs="Arial"/>
        </w:rPr>
        <w:t xml:space="preserve">El objetivo principal de este informe es analizar la </w:t>
      </w:r>
      <w:r w:rsidR="006E235D">
        <w:rPr>
          <w:rFonts w:ascii="Arial" w:hAnsi="Arial" w:cs="Arial"/>
        </w:rPr>
        <w:t>resolutivita</w:t>
      </w:r>
      <w:r w:rsidR="00A348C1" w:rsidRPr="00A348C1">
        <w:rPr>
          <w:rFonts w:ascii="Arial" w:hAnsi="Arial" w:cs="Arial"/>
        </w:rPr>
        <w:t xml:space="preserve"> de las IPS y EPS en la gestión del proceso de referencia y </w:t>
      </w:r>
      <w:r w:rsidR="006E235D" w:rsidRPr="00A348C1">
        <w:rPr>
          <w:rFonts w:ascii="Arial" w:hAnsi="Arial" w:cs="Arial"/>
        </w:rPr>
        <w:t>contrarreferencia</w:t>
      </w:r>
      <w:r w:rsidR="00A348C1" w:rsidRPr="00A348C1">
        <w:rPr>
          <w:rFonts w:ascii="Arial" w:hAnsi="Arial" w:cs="Arial"/>
        </w:rPr>
        <w:t xml:space="preserve">, identificando áreas de mejora y destacando buenas prácticas que puedan servir como modelo </w:t>
      </w:r>
      <w:r w:rsidR="00A348C1">
        <w:rPr>
          <w:rFonts w:ascii="Arial" w:hAnsi="Arial" w:cs="Arial"/>
        </w:rPr>
        <w:t>para los demás actores relacionados con el proceso de atención de la población de Bogotá</w:t>
      </w:r>
      <w:r w:rsidR="00A348C1" w:rsidRPr="00A348C1">
        <w:rPr>
          <w:rFonts w:ascii="Arial" w:hAnsi="Arial" w:cs="Arial"/>
        </w:rPr>
        <w:t>.</w:t>
      </w:r>
    </w:p>
    <w:p w14:paraId="66B463EF" w14:textId="6C746ABE" w:rsidR="00E52110" w:rsidRPr="00026347" w:rsidRDefault="00E52110" w:rsidP="00E52110">
      <w:pPr>
        <w:jc w:val="both"/>
        <w:rPr>
          <w:rFonts w:ascii="Arial" w:hAnsi="Arial" w:cs="Arial"/>
        </w:rPr>
      </w:pPr>
      <w:r w:rsidRPr="2308819D">
        <w:rPr>
          <w:rFonts w:ascii="Arial" w:hAnsi="Arial" w:cs="Arial"/>
        </w:rPr>
        <w:t xml:space="preserve">Durante el período relacionado, el equipo de inspección, vigilancia y seguimiento de la Dirección de Aseguramiento de la Secretaría Distrital de Salud llevó a cabo 248 visitas de acompañamiento concurrente al proceso de referencia y </w:t>
      </w:r>
      <w:r w:rsidR="006E235D" w:rsidRPr="2308819D">
        <w:rPr>
          <w:rFonts w:ascii="Arial" w:hAnsi="Arial" w:cs="Arial"/>
        </w:rPr>
        <w:t>contrarreferencia</w:t>
      </w:r>
      <w:r w:rsidRPr="2308819D">
        <w:rPr>
          <w:rFonts w:ascii="Arial" w:hAnsi="Arial" w:cs="Arial"/>
        </w:rPr>
        <w:t xml:space="preserve"> en 36 IPS (2</w:t>
      </w:r>
      <w:r w:rsidR="00A108C5" w:rsidRPr="2308819D">
        <w:rPr>
          <w:rFonts w:ascii="Arial" w:hAnsi="Arial" w:cs="Arial"/>
        </w:rPr>
        <w:t>4</w:t>
      </w:r>
      <w:r w:rsidRPr="2308819D">
        <w:rPr>
          <w:rFonts w:ascii="Arial" w:hAnsi="Arial" w:cs="Arial"/>
        </w:rPr>
        <w:t xml:space="preserve"> instituciones privadas y 12 públicas) de Bogotá. </w:t>
      </w:r>
    </w:p>
    <w:p w14:paraId="316AC508" w14:textId="77777777" w:rsidR="00E52110" w:rsidRPr="00026347" w:rsidRDefault="00E52110" w:rsidP="00E52110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</w:rPr>
        <w:t xml:space="preserve">El propósito principal de estas visitas fue el de validar y respaldar las gestiones realizadas por los referentes de estos procesos dentro de la red de prestadores de la ciudad. Los resultados que se presentan a continuación se basan en las observaciones realizadas durante este acompañamiento. </w:t>
      </w:r>
    </w:p>
    <w:p w14:paraId="6899FE3A" w14:textId="4F3C1A64" w:rsidR="003D70C6" w:rsidRDefault="0012490C" w:rsidP="00F72CFC">
      <w:pPr>
        <w:pStyle w:val="Ttulo1"/>
        <w:rPr>
          <w:rFonts w:ascii="Arial" w:hAnsi="Arial" w:cs="Arial"/>
          <w:b/>
          <w:bCs/>
          <w:color w:val="auto"/>
        </w:rPr>
      </w:pPr>
      <w:r w:rsidRPr="00F72CFC">
        <w:rPr>
          <w:rFonts w:ascii="Arial" w:hAnsi="Arial" w:cs="Arial"/>
          <w:b/>
          <w:bCs/>
          <w:color w:val="auto"/>
        </w:rPr>
        <w:t>Variables de gestión</w:t>
      </w:r>
      <w:r w:rsidR="00F17C33" w:rsidRPr="00F72CFC">
        <w:rPr>
          <w:rFonts w:ascii="Arial" w:hAnsi="Arial" w:cs="Arial"/>
          <w:b/>
          <w:bCs/>
          <w:color w:val="auto"/>
        </w:rPr>
        <w:t>:</w:t>
      </w:r>
    </w:p>
    <w:p w14:paraId="4FCD4E76" w14:textId="77777777" w:rsidR="00F72CFC" w:rsidRPr="00F72CFC" w:rsidRDefault="00F72CFC" w:rsidP="00F72CFC"/>
    <w:p w14:paraId="033860A3" w14:textId="695D2152" w:rsidR="00F17C33" w:rsidRDefault="0012490C" w:rsidP="00F17C33">
      <w:pPr>
        <w:rPr>
          <w:rFonts w:ascii="Arial" w:hAnsi="Arial" w:cs="Arial"/>
        </w:rPr>
      </w:pPr>
      <w:r w:rsidRPr="00026347">
        <w:rPr>
          <w:rFonts w:ascii="Arial" w:hAnsi="Arial" w:cs="Arial"/>
        </w:rPr>
        <w:t>A Continuación, se relacionan la distribución de los casos presentados en la IPS</w:t>
      </w:r>
      <w:r w:rsidR="00515C3A">
        <w:rPr>
          <w:rFonts w:ascii="Arial" w:hAnsi="Arial" w:cs="Arial"/>
        </w:rPr>
        <w:t>,</w:t>
      </w:r>
      <w:r w:rsidRPr="00026347">
        <w:rPr>
          <w:rFonts w:ascii="Arial" w:hAnsi="Arial" w:cs="Arial"/>
        </w:rPr>
        <w:t xml:space="preserve"> en las respectivas fechas de acompañamiento por asegurador.</w:t>
      </w:r>
    </w:p>
    <w:p w14:paraId="34D4493D" w14:textId="7E3ECB47" w:rsidR="0006604B" w:rsidRDefault="00F72CFC" w:rsidP="00F17C33">
      <w:pPr>
        <w:rPr>
          <w:rFonts w:ascii="Arial" w:hAnsi="Arial" w:cs="Arial"/>
        </w:rPr>
      </w:pPr>
      <w:r w:rsidRPr="00F72CFC">
        <w:rPr>
          <w:noProof/>
        </w:rPr>
        <w:drawing>
          <wp:inline distT="0" distB="0" distL="0" distR="0" wp14:anchorId="0BE62426" wp14:editId="2261248A">
            <wp:extent cx="5743575" cy="12573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C90A1" w14:textId="1B9C1A33" w:rsidR="001D6D50" w:rsidRPr="001D6D50" w:rsidRDefault="001D6D50" w:rsidP="72E2511E">
      <w:pPr>
        <w:rPr>
          <w:rFonts w:ascii="Arial" w:hAnsi="Arial" w:cs="Arial"/>
        </w:rPr>
      </w:pPr>
      <w:r w:rsidRPr="001D6D50">
        <w:rPr>
          <w:noProof/>
        </w:rPr>
        <w:lastRenderedPageBreak/>
        <w:drawing>
          <wp:inline distT="0" distB="0" distL="0" distR="0" wp14:anchorId="2FFFCD57" wp14:editId="43C2D031">
            <wp:extent cx="5759450" cy="1533525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001" cy="1535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D0398" w14:textId="329C484B" w:rsidR="003D70C6" w:rsidRDefault="001D6D50" w:rsidP="72E2511E">
      <w:pPr>
        <w:rPr>
          <w:rFonts w:ascii="Arial" w:hAnsi="Arial" w:cs="Arial"/>
          <w:sz w:val="16"/>
          <w:szCs w:val="16"/>
        </w:rPr>
      </w:pPr>
      <w:r w:rsidRPr="001D6D50">
        <w:rPr>
          <w:noProof/>
        </w:rPr>
        <w:drawing>
          <wp:inline distT="0" distB="0" distL="0" distR="0" wp14:anchorId="27123CC7" wp14:editId="61DE30B5">
            <wp:extent cx="5772150" cy="180975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210" cy="181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95866" w14:textId="7C402B5F" w:rsidR="001D6D50" w:rsidRDefault="001D6D50" w:rsidP="72E2511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2BA01C8" wp14:editId="03560D09">
            <wp:extent cx="5773420" cy="1562100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CCCC94" w14:textId="7439DF08" w:rsidR="00077E81" w:rsidRDefault="00077E81" w:rsidP="72E2511E">
      <w:pPr>
        <w:rPr>
          <w:rFonts w:ascii="Arial" w:hAnsi="Arial" w:cs="Arial"/>
          <w:sz w:val="16"/>
          <w:szCs w:val="16"/>
        </w:rPr>
      </w:pPr>
      <w:r w:rsidRPr="00077E81">
        <w:rPr>
          <w:noProof/>
        </w:rPr>
        <w:drawing>
          <wp:inline distT="0" distB="0" distL="0" distR="0" wp14:anchorId="31F12300" wp14:editId="75EC82AB">
            <wp:extent cx="5773420" cy="1161970"/>
            <wp:effectExtent l="0" t="0" r="0" b="63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888" cy="1170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5AF7A" w14:textId="773199DC" w:rsidR="00B75D1B" w:rsidRPr="00375F07" w:rsidRDefault="0012490C" w:rsidP="00375F07">
      <w:pPr>
        <w:rPr>
          <w:rFonts w:ascii="Arial" w:hAnsi="Arial" w:cs="Arial"/>
          <w:sz w:val="16"/>
          <w:szCs w:val="16"/>
        </w:rPr>
      </w:pPr>
      <w:r w:rsidRPr="72E2511E">
        <w:rPr>
          <w:rFonts w:ascii="Arial" w:hAnsi="Arial" w:cs="Arial"/>
          <w:sz w:val="16"/>
          <w:szCs w:val="16"/>
        </w:rPr>
        <w:lastRenderedPageBreak/>
        <w:t xml:space="preserve">Fuente: Elaboración a partir de actas de seguimiento y matriz de gestión. Subdirección de Garantía del aseguramiento. </w:t>
      </w:r>
      <w:r w:rsidR="53F09250" w:rsidRPr="72E2511E">
        <w:rPr>
          <w:rFonts w:ascii="Arial" w:hAnsi="Arial" w:cs="Arial"/>
          <w:sz w:val="16"/>
          <w:szCs w:val="16"/>
        </w:rPr>
        <w:t>noviembre</w:t>
      </w:r>
      <w:r w:rsidRPr="72E2511E">
        <w:rPr>
          <w:rFonts w:ascii="Arial" w:hAnsi="Arial" w:cs="Arial"/>
          <w:sz w:val="16"/>
          <w:szCs w:val="16"/>
        </w:rPr>
        <w:t xml:space="preserve"> 2024</w:t>
      </w:r>
    </w:p>
    <w:p w14:paraId="7BF41C24" w14:textId="5DA44011" w:rsidR="00B75D1B" w:rsidRPr="00B75D1B" w:rsidRDefault="00B75D1B" w:rsidP="00B75D1B">
      <w:pPr>
        <w:jc w:val="both"/>
        <w:rPr>
          <w:rFonts w:ascii="Arial" w:hAnsi="Arial" w:cs="Arial"/>
          <w:sz w:val="24"/>
          <w:szCs w:val="24"/>
        </w:rPr>
      </w:pPr>
      <w:r w:rsidRPr="00B75D1B">
        <w:rPr>
          <w:rFonts w:ascii="Arial" w:hAnsi="Arial" w:cs="Arial"/>
          <w:color w:val="000000" w:themeColor="text1"/>
          <w:sz w:val="24"/>
          <w:szCs w:val="24"/>
        </w:rPr>
        <w:t xml:space="preserve">Se envía correo a las EPS que no han dado respuesta a las remisiones de los pacientes que se encuentran en el servicio de urgencias, por no disponibilidad de camas o </w:t>
      </w:r>
      <w:r w:rsidR="00375F07">
        <w:rPr>
          <w:rFonts w:ascii="Arial" w:hAnsi="Arial" w:cs="Arial"/>
          <w:color w:val="000000" w:themeColor="text1"/>
          <w:sz w:val="24"/>
          <w:szCs w:val="24"/>
        </w:rPr>
        <w:t>por</w:t>
      </w:r>
      <w:r w:rsidRPr="00B75D1B">
        <w:rPr>
          <w:rFonts w:ascii="Arial" w:hAnsi="Arial" w:cs="Arial"/>
          <w:color w:val="000000" w:themeColor="text1"/>
          <w:sz w:val="24"/>
          <w:szCs w:val="24"/>
        </w:rPr>
        <w:t xml:space="preserve"> servicio requerido debe ser ubicado en otra unidad.  </w:t>
      </w:r>
    </w:p>
    <w:p w14:paraId="1C003E8F" w14:textId="77777777" w:rsidR="00B75D1B" w:rsidRPr="00B75D1B" w:rsidRDefault="00B75D1B" w:rsidP="00B75D1B">
      <w:pPr>
        <w:pStyle w:val="Prrafodelista"/>
        <w:rPr>
          <w:rFonts w:ascii="Arial" w:hAnsi="Arial" w:cs="Arial"/>
        </w:rPr>
      </w:pPr>
    </w:p>
    <w:p w14:paraId="5CEA53EB" w14:textId="5EE89746" w:rsidR="00F17C33" w:rsidRPr="00B75D1B" w:rsidRDefault="00F17C33" w:rsidP="00B75D1B">
      <w:pPr>
        <w:ind w:left="360"/>
        <w:rPr>
          <w:rFonts w:ascii="Arial" w:hAnsi="Arial" w:cs="Arial"/>
          <w:b/>
          <w:bCs/>
          <w:sz w:val="24"/>
          <w:szCs w:val="24"/>
        </w:rPr>
      </w:pPr>
      <w:r w:rsidRPr="00B75D1B">
        <w:rPr>
          <w:rFonts w:ascii="Arial" w:hAnsi="Arial" w:cs="Arial"/>
          <w:b/>
          <w:bCs/>
          <w:sz w:val="24"/>
          <w:szCs w:val="24"/>
        </w:rPr>
        <w:t>Distribución de Gestiones</w:t>
      </w:r>
    </w:p>
    <w:p w14:paraId="24A242ED" w14:textId="77777777" w:rsidR="00F17C33" w:rsidRPr="00026347" w:rsidRDefault="00F17C33" w:rsidP="00F17C33">
      <w:pPr>
        <w:rPr>
          <w:rFonts w:ascii="Arial" w:hAnsi="Arial" w:cs="Arial"/>
        </w:rPr>
      </w:pPr>
    </w:p>
    <w:p w14:paraId="7FEE4ECB" w14:textId="42B488B6" w:rsidR="006B7DE4" w:rsidRDefault="006B7DE4" w:rsidP="006B7DE4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</w:rPr>
        <w:t>A continuación, se relacionan los casos gestionados en el marco de la visita de acompañamiento por parte del equipo de IVS.</w:t>
      </w:r>
    </w:p>
    <w:p w14:paraId="14D09333" w14:textId="2724054A" w:rsidR="000E0236" w:rsidRPr="00026347" w:rsidRDefault="00CE3165" w:rsidP="006B7DE4">
      <w:pPr>
        <w:jc w:val="both"/>
        <w:rPr>
          <w:rFonts w:ascii="Arial" w:hAnsi="Arial" w:cs="Arial"/>
        </w:rPr>
      </w:pPr>
      <w:r w:rsidRPr="00CE3165">
        <w:rPr>
          <w:noProof/>
        </w:rPr>
        <w:drawing>
          <wp:inline distT="0" distB="0" distL="0" distR="0" wp14:anchorId="134D3B0B" wp14:editId="55B12FF8">
            <wp:extent cx="6082045" cy="143827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942" cy="143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97764" w14:textId="129305DF" w:rsidR="006B7DE4" w:rsidRDefault="006B7DE4" w:rsidP="72E2511E">
      <w:pPr>
        <w:rPr>
          <w:rFonts w:ascii="Arial" w:hAnsi="Arial" w:cs="Arial"/>
          <w:sz w:val="16"/>
          <w:szCs w:val="16"/>
        </w:rPr>
      </w:pPr>
      <w:r w:rsidRPr="72E2511E">
        <w:rPr>
          <w:rFonts w:ascii="Arial" w:hAnsi="Arial" w:cs="Arial"/>
          <w:sz w:val="16"/>
          <w:szCs w:val="16"/>
        </w:rPr>
        <w:t xml:space="preserve">Fuente: Elaboración a partir de actas de seguimiento y matriz de gestión. Subdirección de Garantía del aseguramiento. </w:t>
      </w:r>
      <w:r w:rsidR="7D1F970C" w:rsidRPr="72E2511E">
        <w:rPr>
          <w:rFonts w:ascii="Arial" w:hAnsi="Arial" w:cs="Arial"/>
          <w:sz w:val="16"/>
          <w:szCs w:val="16"/>
        </w:rPr>
        <w:t>Noviembre</w:t>
      </w:r>
      <w:r w:rsidRPr="72E2511E">
        <w:rPr>
          <w:rFonts w:ascii="Arial" w:hAnsi="Arial" w:cs="Arial"/>
          <w:sz w:val="16"/>
          <w:szCs w:val="16"/>
        </w:rPr>
        <w:t xml:space="preserve"> 2024</w:t>
      </w:r>
    </w:p>
    <w:p w14:paraId="3E75F059" w14:textId="098A1D15" w:rsidR="00026347" w:rsidRDefault="00026347" w:rsidP="000263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destaca</w:t>
      </w:r>
      <w:r w:rsidRPr="00026347">
        <w:rPr>
          <w:rFonts w:ascii="Arial" w:hAnsi="Arial" w:cs="Arial"/>
        </w:rPr>
        <w:t xml:space="preserve"> que los casos catalogados como "pendientes" se refieren a aquellos que, </w:t>
      </w:r>
      <w:r w:rsidR="00D76A74">
        <w:rPr>
          <w:rFonts w:ascii="Arial" w:hAnsi="Arial" w:cs="Arial"/>
        </w:rPr>
        <w:t>aunque fueron gestionados</w:t>
      </w:r>
      <w:r w:rsidRPr="00026347">
        <w:rPr>
          <w:rFonts w:ascii="Arial" w:hAnsi="Arial" w:cs="Arial"/>
        </w:rPr>
        <w:t xml:space="preserve"> tanto por la IPS como por la EPS durante </w:t>
      </w:r>
      <w:r w:rsidR="00D76A74">
        <w:rPr>
          <w:rFonts w:ascii="Arial" w:hAnsi="Arial" w:cs="Arial"/>
        </w:rPr>
        <w:t xml:space="preserve">o el mismo día de </w:t>
      </w:r>
      <w:r w:rsidRPr="00026347">
        <w:rPr>
          <w:rFonts w:ascii="Arial" w:hAnsi="Arial" w:cs="Arial"/>
        </w:rPr>
        <w:t>la visita, no resultaron efectivos para el paciente. La efectividad está relacionada con traslados para procedimientos, interconsultas, provisión de oxígeno domiciliario y adscripción al programa de hospitalización domiciliaria principalmente.</w:t>
      </w:r>
    </w:p>
    <w:p w14:paraId="128A55E5" w14:textId="74EFEB53" w:rsidR="00CE3165" w:rsidRPr="00026347" w:rsidRDefault="00683CA6" w:rsidP="000263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lo cosas que continúan pendientes aun sin respuesta de la EPS FAMISANAR, se identifica remisión a cirugía gástrica </w:t>
      </w:r>
    </w:p>
    <w:p w14:paraId="4D9268F0" w14:textId="68845938" w:rsidR="00F17C33" w:rsidRPr="008340B0" w:rsidRDefault="006B7DE4" w:rsidP="00F17C33">
      <w:pPr>
        <w:pStyle w:val="Ttulo1"/>
        <w:rPr>
          <w:rFonts w:ascii="Arial" w:hAnsi="Arial" w:cs="Arial"/>
          <w:color w:val="000000" w:themeColor="text1"/>
        </w:rPr>
      </w:pPr>
      <w:r w:rsidRPr="008340B0">
        <w:rPr>
          <w:rFonts w:ascii="Arial" w:hAnsi="Arial" w:cs="Arial"/>
          <w:color w:val="000000" w:themeColor="text1"/>
        </w:rPr>
        <w:t>Análisis de resultados de la estrategia</w:t>
      </w:r>
    </w:p>
    <w:p w14:paraId="385FAE88" w14:textId="77777777" w:rsidR="000E0236" w:rsidRPr="000E0236" w:rsidRDefault="000E0236" w:rsidP="000E0236"/>
    <w:p w14:paraId="39A70838" w14:textId="77777777" w:rsidR="008340B0" w:rsidRDefault="000E0236" w:rsidP="008340B0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340B0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Se realiza ronda en los servicios de urgencias, verificando ocupación e identificando necesidades del servicio. </w:t>
      </w:r>
    </w:p>
    <w:p w14:paraId="51E7B674" w14:textId="77777777" w:rsidR="008340B0" w:rsidRDefault="000E0236" w:rsidP="008340B0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340B0">
        <w:rPr>
          <w:rFonts w:ascii="Arial" w:hAnsi="Arial" w:cs="Arial"/>
          <w:color w:val="000000" w:themeColor="text1"/>
          <w:sz w:val="24"/>
          <w:szCs w:val="24"/>
        </w:rPr>
        <w:t xml:space="preserve"> Se realiza verificación con referencia y contra referencia del </w:t>
      </w:r>
      <w:r w:rsidR="008340B0" w:rsidRPr="008340B0">
        <w:rPr>
          <w:rFonts w:ascii="Arial" w:hAnsi="Arial" w:cs="Arial"/>
          <w:color w:val="000000" w:themeColor="text1"/>
          <w:sz w:val="24"/>
          <w:szCs w:val="24"/>
        </w:rPr>
        <w:t>radicado</w:t>
      </w:r>
      <w:r w:rsidRPr="008340B0">
        <w:rPr>
          <w:rFonts w:ascii="Arial" w:hAnsi="Arial" w:cs="Arial"/>
          <w:color w:val="000000" w:themeColor="text1"/>
          <w:sz w:val="24"/>
          <w:szCs w:val="24"/>
        </w:rPr>
        <w:t xml:space="preserve"> de las remisiones </w:t>
      </w:r>
      <w:r w:rsidR="008340B0" w:rsidRPr="008340B0">
        <w:rPr>
          <w:rFonts w:ascii="Arial" w:hAnsi="Arial" w:cs="Arial"/>
          <w:color w:val="000000" w:themeColor="text1"/>
          <w:sz w:val="24"/>
          <w:szCs w:val="24"/>
        </w:rPr>
        <w:t>requeridas</w:t>
      </w:r>
      <w:r w:rsidRPr="008340B0">
        <w:rPr>
          <w:rFonts w:ascii="Arial" w:hAnsi="Arial" w:cs="Arial"/>
          <w:color w:val="000000" w:themeColor="text1"/>
          <w:sz w:val="24"/>
          <w:szCs w:val="24"/>
        </w:rPr>
        <w:t xml:space="preserve"> durante la ronda.  </w:t>
      </w:r>
    </w:p>
    <w:p w14:paraId="469BA038" w14:textId="77777777" w:rsidR="008340B0" w:rsidRDefault="008340B0" w:rsidP="008340B0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340B0">
        <w:rPr>
          <w:rFonts w:ascii="Arial" w:hAnsi="Arial" w:cs="Arial"/>
          <w:color w:val="000000" w:themeColor="text1"/>
          <w:sz w:val="24"/>
          <w:szCs w:val="24"/>
        </w:rPr>
        <w:t xml:space="preserve"> Se verifica si de parte de la EPS se ha dado respuesta a la solicitud y radicado correspondiente. </w:t>
      </w:r>
    </w:p>
    <w:p w14:paraId="796E283C" w14:textId="5B5E562A" w:rsidR="008340B0" w:rsidRDefault="008340B0" w:rsidP="008340B0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340B0">
        <w:rPr>
          <w:rFonts w:ascii="Arial" w:hAnsi="Arial" w:cs="Arial"/>
          <w:color w:val="000000" w:themeColor="text1"/>
          <w:sz w:val="24"/>
          <w:szCs w:val="24"/>
        </w:rPr>
        <w:t xml:space="preserve">Se envía correo de las remisiones de mayor complejidad y que requieren de una respuesta oportuna por parte de la EPS. </w:t>
      </w:r>
    </w:p>
    <w:p w14:paraId="4D1C7095" w14:textId="07E99E8E" w:rsidR="008340B0" w:rsidRDefault="008340B0" w:rsidP="008340B0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Se realiza seguimiento a las solicitudes enviadas. </w:t>
      </w:r>
    </w:p>
    <w:p w14:paraId="52C9AD04" w14:textId="2D58693D" w:rsidR="006B7DE4" w:rsidRPr="00026347" w:rsidRDefault="00026347" w:rsidP="00026347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</w:rPr>
        <w:t xml:space="preserve">Es importante destacar la labor </w:t>
      </w:r>
      <w:r w:rsidR="003E20C8">
        <w:rPr>
          <w:rFonts w:ascii="Arial" w:hAnsi="Arial" w:cs="Arial"/>
        </w:rPr>
        <w:t>de las EPS e IPS</w:t>
      </w:r>
      <w:r w:rsidRPr="00026347">
        <w:rPr>
          <w:rFonts w:ascii="Arial" w:hAnsi="Arial" w:cs="Arial"/>
        </w:rPr>
        <w:t xml:space="preserve">, </w:t>
      </w:r>
      <w:r w:rsidR="003E20C8">
        <w:rPr>
          <w:rFonts w:ascii="Arial" w:hAnsi="Arial" w:cs="Arial"/>
        </w:rPr>
        <w:t>que pese a</w:t>
      </w:r>
      <w:r w:rsidRPr="00026347">
        <w:rPr>
          <w:rFonts w:ascii="Arial" w:hAnsi="Arial" w:cs="Arial"/>
        </w:rPr>
        <w:t xml:space="preserve"> las dificultades</w:t>
      </w:r>
      <w:r w:rsidR="003E20C8">
        <w:rPr>
          <w:rFonts w:ascii="Arial" w:hAnsi="Arial" w:cs="Arial"/>
        </w:rPr>
        <w:t xml:space="preserve"> estructurales del SGSSS</w:t>
      </w:r>
      <w:r w:rsidRPr="00026347">
        <w:rPr>
          <w:rFonts w:ascii="Arial" w:hAnsi="Arial" w:cs="Arial"/>
        </w:rPr>
        <w:t>, realizan esfuerzos proactivos para garantizar la atención oportuna y efectiva a sus pacientes. Su compromiso con la calidad y la celeridad de la atención debe ser reconocido y replicado</w:t>
      </w:r>
      <w:r>
        <w:rPr>
          <w:rFonts w:ascii="Arial" w:hAnsi="Arial" w:cs="Arial"/>
        </w:rPr>
        <w:t>.</w:t>
      </w:r>
    </w:p>
    <w:p w14:paraId="1DFF6685" w14:textId="77777777" w:rsidR="006B7DE4" w:rsidRPr="00026347" w:rsidRDefault="006B7DE4" w:rsidP="00F17C33">
      <w:pPr>
        <w:rPr>
          <w:rFonts w:ascii="Arial" w:hAnsi="Arial" w:cs="Arial"/>
        </w:rPr>
      </w:pPr>
    </w:p>
    <w:p w14:paraId="6A0CBDA7" w14:textId="77777777" w:rsidR="00F17C33" w:rsidRPr="00026347" w:rsidRDefault="00F17C33" w:rsidP="00F17C33">
      <w:pPr>
        <w:rPr>
          <w:rFonts w:ascii="Arial" w:hAnsi="Arial" w:cs="Arial"/>
        </w:rPr>
      </w:pPr>
      <w:r w:rsidRPr="00026347">
        <w:rPr>
          <w:rFonts w:ascii="Arial" w:hAnsi="Arial" w:cs="Arial"/>
        </w:rPr>
        <w:t>Elaborado por:</w:t>
      </w:r>
    </w:p>
    <w:p w14:paraId="05D4987F" w14:textId="06B2ABB5" w:rsidR="00F17C33" w:rsidRPr="00026347" w:rsidRDefault="008340B0" w:rsidP="00F17C3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Saira Andrea Melo Guzmán</w:t>
      </w:r>
      <w:r w:rsidR="003A6D00">
        <w:rPr>
          <w:rFonts w:ascii="Arial" w:hAnsi="Arial" w:cs="Arial"/>
        </w:rPr>
        <w:t xml:space="preserve">- Elizabeth </w:t>
      </w:r>
      <w:r w:rsidR="0099415A">
        <w:rPr>
          <w:rFonts w:ascii="Arial" w:hAnsi="Arial" w:cs="Arial"/>
        </w:rPr>
        <w:t>Pinilla -Andrea Melo</w:t>
      </w:r>
    </w:p>
    <w:p w14:paraId="47EAF808" w14:textId="0A03C257" w:rsidR="00F17C33" w:rsidRPr="00026347" w:rsidRDefault="008340B0" w:rsidP="00F17C3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Profesional Especializado </w:t>
      </w:r>
    </w:p>
    <w:p w14:paraId="1C3A3814" w14:textId="1691D444" w:rsidR="00354CA1" w:rsidRPr="00026347" w:rsidRDefault="008340B0" w:rsidP="00F17C3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05/12/2024</w:t>
      </w:r>
    </w:p>
    <w:sectPr w:rsidR="00354CA1" w:rsidRPr="00026347">
      <w:headerReference w:type="default" r:id="rId16"/>
      <w:footerReference w:type="default" r:id="rId1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05318" w14:textId="77777777" w:rsidR="001C70A6" w:rsidRDefault="001C70A6">
      <w:pPr>
        <w:spacing w:after="0" w:line="240" w:lineRule="auto"/>
      </w:pPr>
      <w:r>
        <w:separator/>
      </w:r>
    </w:p>
  </w:endnote>
  <w:endnote w:type="continuationSeparator" w:id="0">
    <w:p w14:paraId="755B4572" w14:textId="77777777" w:rsidR="001C70A6" w:rsidRDefault="001C7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D034" w14:textId="77777777" w:rsidR="00777783" w:rsidRDefault="00A348C1" w:rsidP="009245B3">
    <w:pPr>
      <w:pStyle w:val="Piedepgina"/>
      <w:ind w:left="-1701"/>
    </w:pPr>
    <w:r>
      <w:rPr>
        <w:noProof/>
        <w:lang w:val="es-CO" w:eastAsia="es-CO"/>
      </w:rPr>
      <w:drawing>
        <wp:inline distT="0" distB="0" distL="0" distR="0" wp14:anchorId="76F7EBAD" wp14:editId="2019557E">
          <wp:extent cx="7905096" cy="1085013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05096" cy="10850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BB6C0" w14:textId="77777777" w:rsidR="001C70A6" w:rsidRDefault="001C70A6">
      <w:pPr>
        <w:spacing w:after="0" w:line="240" w:lineRule="auto"/>
      </w:pPr>
      <w:r>
        <w:separator/>
      </w:r>
    </w:p>
  </w:footnote>
  <w:footnote w:type="continuationSeparator" w:id="0">
    <w:p w14:paraId="70FCA875" w14:textId="77777777" w:rsidR="001C70A6" w:rsidRDefault="001C7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C42CE" w14:textId="77777777" w:rsidR="00777783" w:rsidRDefault="00A348C1" w:rsidP="00DF19FA">
    <w:pPr>
      <w:pStyle w:val="Encabezado"/>
      <w:ind w:left="-1701"/>
    </w:pPr>
    <w:r w:rsidRPr="005D76A5">
      <w:rPr>
        <w:noProof/>
        <w:lang w:val="es-CO" w:eastAsia="es-CO"/>
      </w:rPr>
      <w:drawing>
        <wp:inline distT="0" distB="0" distL="0" distR="0" wp14:anchorId="34EC70B0" wp14:editId="6DABE833">
          <wp:extent cx="7820024" cy="1269106"/>
          <wp:effectExtent l="0" t="0" r="0" b="7620"/>
          <wp:docPr id="1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2FC6"/>
    <w:multiLevelType w:val="hybridMultilevel"/>
    <w:tmpl w:val="537AD2E6"/>
    <w:lvl w:ilvl="0" w:tplc="FE04ACD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636073"/>
    <w:multiLevelType w:val="hybridMultilevel"/>
    <w:tmpl w:val="C1D484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030AC"/>
    <w:multiLevelType w:val="hybridMultilevel"/>
    <w:tmpl w:val="E4EA7D5A"/>
    <w:lvl w:ilvl="0" w:tplc="FE04ACD0">
      <w:numFmt w:val="bullet"/>
      <w:lvlText w:val=""/>
      <w:lvlJc w:val="left"/>
      <w:pPr>
        <w:ind w:left="1428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83814">
    <w:abstractNumId w:val="1"/>
  </w:num>
  <w:num w:numId="2" w16cid:durableId="1845242735">
    <w:abstractNumId w:val="0"/>
  </w:num>
  <w:num w:numId="3" w16cid:durableId="16500864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C33"/>
    <w:rsid w:val="00026347"/>
    <w:rsid w:val="00031584"/>
    <w:rsid w:val="0006604B"/>
    <w:rsid w:val="00077E81"/>
    <w:rsid w:val="00096121"/>
    <w:rsid w:val="000E0236"/>
    <w:rsid w:val="0012490C"/>
    <w:rsid w:val="00147BA6"/>
    <w:rsid w:val="00181AAD"/>
    <w:rsid w:val="001C70A6"/>
    <w:rsid w:val="001D6D50"/>
    <w:rsid w:val="001E2B5C"/>
    <w:rsid w:val="00292125"/>
    <w:rsid w:val="00354CA1"/>
    <w:rsid w:val="00375F07"/>
    <w:rsid w:val="003A6D00"/>
    <w:rsid w:val="003D70C6"/>
    <w:rsid w:val="003E20C8"/>
    <w:rsid w:val="003E3FD2"/>
    <w:rsid w:val="004652AA"/>
    <w:rsid w:val="00515C3A"/>
    <w:rsid w:val="0064096D"/>
    <w:rsid w:val="00683CA6"/>
    <w:rsid w:val="006B14C5"/>
    <w:rsid w:val="006B3064"/>
    <w:rsid w:val="006B7DE4"/>
    <w:rsid w:val="006E235D"/>
    <w:rsid w:val="006F3F01"/>
    <w:rsid w:val="006F73A8"/>
    <w:rsid w:val="00777783"/>
    <w:rsid w:val="00826704"/>
    <w:rsid w:val="008340B0"/>
    <w:rsid w:val="00846DC6"/>
    <w:rsid w:val="008841F9"/>
    <w:rsid w:val="008C7D65"/>
    <w:rsid w:val="009677EF"/>
    <w:rsid w:val="0099415A"/>
    <w:rsid w:val="00A108C5"/>
    <w:rsid w:val="00A348C1"/>
    <w:rsid w:val="00A45BD5"/>
    <w:rsid w:val="00A95769"/>
    <w:rsid w:val="00A95EAD"/>
    <w:rsid w:val="00AD385A"/>
    <w:rsid w:val="00B75D1B"/>
    <w:rsid w:val="00BE2705"/>
    <w:rsid w:val="00C10F09"/>
    <w:rsid w:val="00C51789"/>
    <w:rsid w:val="00CE3165"/>
    <w:rsid w:val="00D404ED"/>
    <w:rsid w:val="00D65EAF"/>
    <w:rsid w:val="00D76A74"/>
    <w:rsid w:val="00DE0585"/>
    <w:rsid w:val="00E52110"/>
    <w:rsid w:val="00F003A1"/>
    <w:rsid w:val="00F17C33"/>
    <w:rsid w:val="00F72CFC"/>
    <w:rsid w:val="00FB011D"/>
    <w:rsid w:val="016C8BF2"/>
    <w:rsid w:val="0580E600"/>
    <w:rsid w:val="0621787C"/>
    <w:rsid w:val="0B05F82E"/>
    <w:rsid w:val="2308819D"/>
    <w:rsid w:val="2B944427"/>
    <w:rsid w:val="386FC339"/>
    <w:rsid w:val="506AD871"/>
    <w:rsid w:val="53F09250"/>
    <w:rsid w:val="5FB3B764"/>
    <w:rsid w:val="67E77BD0"/>
    <w:rsid w:val="72E2511E"/>
    <w:rsid w:val="78A1966D"/>
    <w:rsid w:val="7D1F9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3BC1C"/>
  <w15:chartTrackingRefBased/>
  <w15:docId w15:val="{63777479-322F-4F31-B341-2B22025B6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C33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17C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7C3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F17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7C33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17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7C33"/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6B7DE4"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Times New Roman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d86468ab218afb25df15a436152aaa0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4f05ae1345caa51b16d56b8aac125b50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F6EDE48B-5095-45A7-AB93-8D5D1AE7D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E5F57-1DE5-4C03-BC33-5B0034AA55D8}"/>
</file>

<file path=customXml/itemProps3.xml><?xml version="1.0" encoding="utf-8"?>
<ds:datastoreItem xmlns:ds="http://schemas.openxmlformats.org/officeDocument/2006/customXml" ds:itemID="{618AF9F8-9BC5-4120-B692-E99152EF32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531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Marcela, Sandino Perdomo</dc:creator>
  <cp:keywords/>
  <dc:description/>
  <cp:lastModifiedBy>Laura carolina Torres Garcia</cp:lastModifiedBy>
  <cp:revision>4</cp:revision>
  <dcterms:created xsi:type="dcterms:W3CDTF">2024-12-06T19:00:00Z</dcterms:created>
  <dcterms:modified xsi:type="dcterms:W3CDTF">2025-01-23T21:58:00Z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</Properties>
</file>